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26-329</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rule 261—65.3(15)</w:t>
      </w:r>
    </w:p>
    <w:p>
      <w:pPr>
        <w:spacing w:before="0" w:after="0" w:line="480"/>
        <w:ind w:left="120"/>
        <w:jc w:val="center"/>
      </w:pPr>
      <w:r>
        <w:rPr>
          <w:rFonts w:ascii="Times New Roman" w:hAnsi="Times New Roman"/>
          <w:b w:val="false"/>
          <w:i w:val="false"/>
          <w:color w:val="000000"/>
          <w:sz w:val="24"/>
        </w:rPr>
        <w:t>“Redevelopment Tax Credits Program—Limitations on Qualifying Investment”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chapter 15, subchapter II, part 9</w:t>
      </w:r>
    </w:p>
    <w:p>
      <w:pPr>
        <w:spacing w:before="0" w:after="0" w:line="480"/>
        <w:ind w:left="120"/>
        <w:jc w:val="both"/>
      </w:pPr>
      <w:r>
        <w:rPr>
          <w:rFonts w:ascii="Times New Roman" w:hAnsi="Times New Roman"/>
          <w:b w:val="false"/>
          <w:i w:val="false"/>
          <w:color w:val="000000"/>
          <w:sz w:val="24"/>
        </w:rPr>
        <w:t>State or federal law(s) implemented by the rulemaking: Iowa Code chapter 15, subchapter II, part 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9:45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1963 Bell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Economic Development Authority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Lisa Connell</w:t>
            </w:r>
            <w:r>
              <w:br/>
            </w:r>
            <w:r>
              <w:rPr>
                <w:rFonts w:ascii="Times New Roman" w:hAnsi="Times New Roman"/>
                <w:b w:val="false"/>
                <w:i w:val="false"/>
                <w:color w:val="000000"/>
                <w:sz w:val="14"/>
              </w:rPr>
              <w:t>Iowa Economic Development Authority</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proposes to amend Chapter 65 to clarify the treatment of federal tax credits in determining the qualifying investment for the purposes of the redevelopment tax credits available pursuant to Iowa Code chapter 15, subchapter II, part 9.</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rulemaking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Entities applying for or participating in the program will benefit from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rulemaking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 xml:space="preserve">The program supports the acquisition, remediation, or redevelopment of brownfield and grayfield sites. The proposed amendment to the rule will allow eligible projects that are also utilizing federal tax credits to realize increased tax credit awards through the program.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Authority staff time is required to review and approve applications, issue tax credit certificates, review reports, and communicate with program applicants and recipients.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rules have no anticipated impact on State revenues. Up to $15 million total in tax credits may be awarded by the Authority for this program in each fiscal year pursuant to Iowa Code section 15.293A.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rulemaking does not impose any costs. The costs to the State to administer the program are proportional to the activities supported.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or less intrusive methods for administering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rulemaking impacts only small businesses seeking tax credits. The rulemaking does not establish compliance and reporting requirements, schedules, deadlines, or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261—65.3(15)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261—65.3</w:t>
      </w:r>
      <w:r>
        <w:rPr>
          <w:rFonts w:ascii="Times New Roman" w:hAnsi="Times New Roman"/>
          <w:b/>
          <w:i w:val="false"/>
          <w:color w:val="000000"/>
          <w:sz w:val="24"/>
        </w:rPr>
        <w:t xml:space="preserve">(15) </w:t>
      </w:r>
      <w:r>
        <w:rPr>
          <w:rFonts w:ascii="Times New Roman" w:hAnsi="Times New Roman"/>
          <w:b/>
          <w:i w:val="false"/>
          <w:color w:val="000000"/>
          <w:sz w:val="24"/>
        </w:rPr>
        <w:t xml:space="preserve">Limitations on qualifying investment. </w:t>
      </w:r>
      <w:r>
        <w:rPr>
          <w:rFonts w:ascii="Times New Roman" w:hAnsi="Times New Roman"/>
          <w:b w:val="false"/>
          <w:i w:val="false"/>
          <w:color w:val="000000"/>
          <w:sz w:val="24"/>
        </w:rPr>
        <w:t>For the purposes of identifying qualifying investment for the purposes of the program, the following shall not be included:</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portion of the total cost of a project that is financed by federal, state, or local government </w:t>
      </w:r>
      <w:r>
        <w:rPr>
          <w:rFonts w:ascii="Times New Roman" w:hAnsi="Times New Roman"/>
          <w:b w:val="false"/>
          <w:i w:val="false"/>
          <w:strike/>
          <w:color w:val="000000"/>
          <w:sz w:val="24"/>
        </w:rPr>
        <w:t>tax credits,</w:t>
      </w:r>
      <w:r>
        <w:rPr>
          <w:rFonts w:ascii="Times New Roman" w:hAnsi="Times New Roman"/>
          <w:b w:val="false"/>
          <w:i w:val="false"/>
          <w:color w:val="000000"/>
          <w:sz w:val="24"/>
        </w:rPr>
        <w:t xml:space="preserve"> grants</w:t>
      </w:r>
      <w:r>
        <w:rPr>
          <w:rFonts w:ascii="Times New Roman" w:hAnsi="Times New Roman"/>
          <w:b w:val="false"/>
          <w:i w:val="false"/>
          <w:strik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w:t>
      </w:r>
      <w:r>
        <w:rPr>
          <w:rFonts w:ascii="Times New Roman" w:hAnsi="Times New Roman"/>
          <w:b w:val="false"/>
          <w:i w:val="false"/>
          <w:color w:val="000000"/>
          <w:sz w:val="24"/>
        </w:rPr>
        <w:t xml:space="preserve"> forgivable loans</w:t>
      </w:r>
      <w:r>
        <w:rPr>
          <w:rFonts w:ascii="Times New Roman" w:hAnsi="Times New Roman"/>
          <w:b w:val="false"/>
          <w:i w:val="false"/>
          <w:strike/>
          <w:color w:val="000000"/>
          <w:sz w:val="24"/>
        </w:rPr>
        <w:t>,</w:t>
      </w:r>
      <w:r>
        <w:rPr>
          <w:rFonts w:ascii="Times New Roman" w:hAnsi="Times New Roman"/>
          <w:b w:val="false"/>
          <w:i w:val="false"/>
          <w:color w:val="000000"/>
          <w:sz w:val="24"/>
          <w:u w:val="single"/>
        </w:rPr>
        <w:t>; state or local government tax credits;</w:t>
      </w:r>
      <w:r>
        <w:rPr>
          <w:rFonts w:ascii="Times New Roman" w:hAnsi="Times New Roman"/>
          <w:b w:val="false"/>
          <w:i w:val="false"/>
          <w:color w:val="000000"/>
          <w:sz w:val="24"/>
        </w:rPr>
        <w:t xml:space="preserve"> or other forms of financial assistance that do not require repayment, excluding the tax incentives provided under the program.</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 and 3. No change.</w:t>
      </w:r>
    </w:p>
    <w:p>
      <w:pPr>
        <w:spacing w:before="0" w:after="0" w:line="240"/>
        <w:ind w:left="120"/>
        <w:jc w:val="both"/>
      </w:pP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